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4AFC" w:rsidRPr="00815246" w:rsidRDefault="00000000">
      <w:pPr>
        <w:rPr>
          <w:b/>
          <w:bCs/>
          <w:sz w:val="48"/>
          <w:szCs w:val="48"/>
        </w:rPr>
      </w:pPr>
      <w:r w:rsidRPr="00815246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-1198560</wp:posOffset>
                </wp:positionH>
                <wp:positionV relativeFrom="paragraph">
                  <wp:posOffset>-423859</wp:posOffset>
                </wp:positionV>
                <wp:extent cx="6730746" cy="1859661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152" y="2859695"/>
                          <a:ext cx="6711696" cy="1840611"/>
                        </a:xfrm>
                        <a:prstGeom prst="rect">
                          <a:avLst/>
                        </a:prstGeom>
                        <a:solidFill>
                          <a:srgbClr val="574E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4FDF6" w14:textId="77777777" w:rsidR="00D84AFC" w:rsidRDefault="00D84AFC">
                            <w:pPr>
                              <w:spacing w:after="0" w:line="240" w:lineRule="auto"/>
                              <w:ind w:left="720" w:firstLine="2160"/>
                              <w:textDirection w:val="btLr"/>
                            </w:pPr>
                          </w:p>
                          <w:p w14:paraId="18EF9053" w14:textId="77777777" w:rsidR="00D84AFC" w:rsidRDefault="00000000">
                            <w:pPr>
                              <w:spacing w:after="0" w:line="240" w:lineRule="auto"/>
                              <w:ind w:left="720" w:firstLine="21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C000"/>
                                <w:sz w:val="72"/>
                              </w:rPr>
                              <w:t xml:space="preserve">Protocolo </w:t>
                            </w:r>
                          </w:p>
                          <w:p w14:paraId="39807E58" w14:textId="77777777" w:rsidR="00D84AFC" w:rsidRDefault="00000000">
                            <w:pPr>
                              <w:spacing w:after="0" w:line="240" w:lineRule="auto"/>
                              <w:ind w:left="720" w:firstLine="21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IDEARR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-1198560</wp:posOffset>
                </wp:positionH>
                <wp:positionV relativeFrom="paragraph">
                  <wp:posOffset>-423859</wp:posOffset>
                </wp:positionV>
                <wp:extent cx="6730746" cy="1859661"/>
                <wp:effectExtent b="0" l="0" r="0" t="0"/>
                <wp:wrapNone/>
                <wp:docPr id="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0746" cy="18596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1524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4173538</wp:posOffset>
                </wp:positionH>
                <wp:positionV relativeFrom="paragraph">
                  <wp:posOffset>490538</wp:posOffset>
                </wp:positionV>
                <wp:extent cx="1225550" cy="164846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2750" y="3707102"/>
                          <a:ext cx="1206500" cy="145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5912BF" w14:textId="77777777" w:rsidR="00D84AFC" w:rsidRDefault="00D84A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4173538</wp:posOffset>
                </wp:positionH>
                <wp:positionV relativeFrom="paragraph">
                  <wp:posOffset>490538</wp:posOffset>
                </wp:positionV>
                <wp:extent cx="1225550" cy="164846"/>
                <wp:effectExtent b="0" l="0" r="0" t="0"/>
                <wp:wrapNone/>
                <wp:docPr id="2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0" cy="1648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1524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4173538</wp:posOffset>
                </wp:positionH>
                <wp:positionV relativeFrom="paragraph">
                  <wp:posOffset>20638</wp:posOffset>
                </wp:positionV>
                <wp:extent cx="1225550" cy="31115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2750" y="3633950"/>
                          <a:ext cx="1206500" cy="292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8D8485" w14:textId="77777777" w:rsidR="00D84AFC" w:rsidRDefault="00D84A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4173538</wp:posOffset>
                </wp:positionH>
                <wp:positionV relativeFrom="paragraph">
                  <wp:posOffset>20638</wp:posOffset>
                </wp:positionV>
                <wp:extent cx="1225550" cy="311150"/>
                <wp:effectExtent b="0" l="0" r="0" t="0"/>
                <wp:wrapNone/>
                <wp:docPr id="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1524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4173538</wp:posOffset>
                </wp:positionH>
                <wp:positionV relativeFrom="paragraph">
                  <wp:posOffset>-258760</wp:posOffset>
                </wp:positionV>
                <wp:extent cx="1225550" cy="164846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2750" y="3707102"/>
                          <a:ext cx="1206500" cy="14579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8C894D" w14:textId="77777777" w:rsidR="00D84AFC" w:rsidRDefault="00D84A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4173538</wp:posOffset>
                </wp:positionH>
                <wp:positionV relativeFrom="paragraph">
                  <wp:posOffset>-258760</wp:posOffset>
                </wp:positionV>
                <wp:extent cx="1225550" cy="164846"/>
                <wp:effectExtent b="0" l="0" r="0" t="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0" cy="1648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2" w14:textId="77777777" w:rsidR="00D84AFC" w:rsidRPr="00815246" w:rsidRDefault="00000000">
      <w:pPr>
        <w:rPr>
          <w:b/>
          <w:bCs/>
          <w:sz w:val="48"/>
          <w:szCs w:val="48"/>
        </w:rPr>
      </w:pPr>
      <w:r w:rsidRPr="0081524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4173538</wp:posOffset>
                </wp:positionH>
                <wp:positionV relativeFrom="paragraph">
                  <wp:posOffset>287338</wp:posOffset>
                </wp:positionV>
                <wp:extent cx="1225550" cy="494538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2750" y="3542256"/>
                          <a:ext cx="1206500" cy="47548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8CE032" w14:textId="77777777" w:rsidR="00D84AFC" w:rsidRDefault="00D84A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4173538</wp:posOffset>
                </wp:positionH>
                <wp:positionV relativeFrom="paragraph">
                  <wp:posOffset>287338</wp:posOffset>
                </wp:positionV>
                <wp:extent cx="1225550" cy="494538"/>
                <wp:effectExtent b="0" l="0" r="0" t="0"/>
                <wp:wrapNone/>
                <wp:docPr id="2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0" cy="494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3" w14:textId="77777777" w:rsidR="00D84AFC" w:rsidRPr="00815246" w:rsidRDefault="00D84AFC">
      <w:pPr>
        <w:rPr>
          <w:b/>
          <w:bCs/>
          <w:sz w:val="48"/>
          <w:szCs w:val="48"/>
        </w:rPr>
      </w:pPr>
    </w:p>
    <w:p w14:paraId="00000004" w14:textId="77777777" w:rsidR="00D84AFC" w:rsidRPr="00815246" w:rsidRDefault="00000000">
      <w:pPr>
        <w:jc w:val="both"/>
        <w:rPr>
          <w:rFonts w:ascii="Arial" w:eastAsia="Arial" w:hAnsi="Arial" w:cs="Arial"/>
          <w:color w:val="7030A0"/>
        </w:rPr>
      </w:pPr>
      <w:sdt>
        <w:sdtPr>
          <w:tag w:val="goog_rdk_0"/>
          <w:id w:val="1657443170"/>
        </w:sdtPr>
        <w:sdtContent/>
      </w:sdt>
      <w:r w:rsidRPr="00815246">
        <w:rPr>
          <w:rFonts w:ascii="Arial" w:eastAsia="Arial" w:hAnsi="Arial" w:cs="Arial"/>
          <w:b/>
          <w:bCs/>
          <w:color w:val="7030A0"/>
          <w:sz w:val="48"/>
          <w:szCs w:val="48"/>
        </w:rPr>
        <w:t>Anexo 16. Sostenibilidad para las estrategias de Cultura Ciudadana.</w:t>
      </w:r>
    </w:p>
    <w:p w14:paraId="00000005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Este anexo ofrece orientaciones para que los equipos que diseñan e implementan estrategias de cultura ciudadana puedan proyectar, fortalecer y dar continuidad a sus procesos en el tiempo.</w:t>
      </w:r>
    </w:p>
    <w:p w14:paraId="00000006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Las estrategias de transformación cultural suelen desarrollarse en contextos cambiantes y con múltiples actores involucrados. Por ello, la sostenibilidad no depende únicamente de la duración de una intervención, sino de su capacidad para:</w:t>
      </w:r>
    </w:p>
    <w:p w14:paraId="00000007" w14:textId="77777777" w:rsidR="00D84AFC" w:rsidRPr="00815246" w:rsidRDefault="00000000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generar aprendizajes</w:t>
      </w:r>
    </w:p>
    <w:p w14:paraId="00000008" w14:textId="77777777" w:rsidR="00D84AFC" w:rsidRPr="00815246" w:rsidRDefault="00000000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fortalecer redes de actores</w:t>
      </w:r>
    </w:p>
    <w:p w14:paraId="00000009" w14:textId="77777777" w:rsidR="00D84AFC" w:rsidRPr="00815246" w:rsidRDefault="00000000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instalar capacidades institucionales y sociales</w:t>
      </w:r>
    </w:p>
    <w:p w14:paraId="0000000A" w14:textId="77777777" w:rsidR="00D84AFC" w:rsidRPr="00815246" w:rsidRDefault="00000000">
      <w:pPr>
        <w:numPr>
          <w:ilvl w:val="0"/>
          <w:numId w:val="6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proyectar acciones futuras a partir de los resultados obtenidos</w:t>
      </w:r>
    </w:p>
    <w:p w14:paraId="0000000B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Las orientaciones que se presentan a continuación buscan apoyar a los equipos técnicos en la reflexión estratégica sobre la continuidad y proyección de sus iniciativas.</w:t>
      </w:r>
    </w:p>
    <w:p w14:paraId="0000000C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1. Sostenibilidad del proceso de cambio cultural</w:t>
      </w:r>
    </w:p>
    <w:p w14:paraId="0000000D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Una estrategia sostenible es aquella que puede adaptarse, aprender y mejorar con el tiempo.</w:t>
      </w:r>
    </w:p>
    <w:p w14:paraId="0000000E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El cambio cultural no ocurre de manera inmediata; por el contrario, requiere ciclos de aprendizaje, ajustes metodológicos y revisión constante de las hipótesis que orientan la intervención.</w:t>
      </w:r>
    </w:p>
    <w:p w14:paraId="0000000F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Preguntas orientadoras</w:t>
      </w:r>
    </w:p>
    <w:p w14:paraId="00000010" w14:textId="77777777" w:rsidR="00D84AFC" w:rsidRPr="00815246" w:rsidRDefault="00000000">
      <w:pPr>
        <w:numPr>
          <w:ilvl w:val="0"/>
          <w:numId w:val="7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cambios culturales o comportamentales se buscaba lograr con la estrategia?</w:t>
      </w:r>
    </w:p>
    <w:p w14:paraId="00000011" w14:textId="77777777" w:rsidR="00D84AFC" w:rsidRPr="00815246" w:rsidRDefault="00000000">
      <w:pPr>
        <w:numPr>
          <w:ilvl w:val="0"/>
          <w:numId w:val="7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avances se han observado hasta el momento?</w:t>
      </w:r>
    </w:p>
    <w:p w14:paraId="00000012" w14:textId="77777777" w:rsidR="00D84AFC" w:rsidRPr="00815246" w:rsidRDefault="00000000">
      <w:pPr>
        <w:numPr>
          <w:ilvl w:val="0"/>
          <w:numId w:val="7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aspectos del diseño inicial funcionaron bien?</w:t>
      </w:r>
    </w:p>
    <w:p w14:paraId="00000013" w14:textId="77777777" w:rsidR="00D84AFC" w:rsidRPr="00815246" w:rsidRDefault="00000000">
      <w:pPr>
        <w:numPr>
          <w:ilvl w:val="0"/>
          <w:numId w:val="7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elementos sería necesario ajustar si la estrategia se implementará nuevamente?</w:t>
      </w:r>
    </w:p>
    <w:p w14:paraId="00000014" w14:textId="77777777" w:rsidR="00D84AFC" w:rsidRPr="00815246" w:rsidRDefault="00000000">
      <w:pPr>
        <w:numPr>
          <w:ilvl w:val="0"/>
          <w:numId w:val="7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aprendizajes surgieron durante la implementación?</w:t>
      </w:r>
    </w:p>
    <w:p w14:paraId="00000015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16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lastRenderedPageBreak/>
        <w:t>Ideas para fortalecer la sostenibilidad del proceso</w:t>
      </w:r>
    </w:p>
    <w:p w14:paraId="00000017" w14:textId="77777777" w:rsidR="00D84AFC" w:rsidRPr="00815246" w:rsidRDefault="00000000">
      <w:pPr>
        <w:numPr>
          <w:ilvl w:val="0"/>
          <w:numId w:val="8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Realizar espacios de reflexión del equipo implementador</w:t>
      </w:r>
    </w:p>
    <w:p w14:paraId="00000018" w14:textId="77777777" w:rsidR="00D84AFC" w:rsidRPr="00815246" w:rsidRDefault="00000000">
      <w:pPr>
        <w:numPr>
          <w:ilvl w:val="0"/>
          <w:numId w:val="8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Revisar periódicamente los resultados del seguimiento</w:t>
      </w:r>
    </w:p>
    <w:p w14:paraId="00000019" w14:textId="77777777" w:rsidR="00D84AFC" w:rsidRPr="00815246" w:rsidRDefault="00000000">
      <w:pPr>
        <w:numPr>
          <w:ilvl w:val="0"/>
          <w:numId w:val="8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Ajustar actividades, metodologías o narrativas cuando sea necesario</w:t>
      </w:r>
    </w:p>
    <w:p w14:paraId="0000001A" w14:textId="77777777" w:rsidR="00D84AFC" w:rsidRPr="00815246" w:rsidRDefault="00000000">
      <w:pPr>
        <w:numPr>
          <w:ilvl w:val="0"/>
          <w:numId w:val="8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Documentar aprendizajes metodológicos</w:t>
      </w:r>
    </w:p>
    <w:p w14:paraId="0000001B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1C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2. Sostenibilidad institucional y articulación de actores</w:t>
      </w:r>
    </w:p>
    <w:p w14:paraId="0000001D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Las estrategias de cultura ciudadana tienen mayor continuidad cuando no dependen de una sola entidad o equipo, sino cuando se articulan con actores institucionales, comunitarios y territoriales.</w:t>
      </w:r>
    </w:p>
    <w:p w14:paraId="0000001E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Construir alianzas permite ampliar el alcance de las estrategias y fortalecer su continuidad.</w:t>
      </w:r>
    </w:p>
    <w:p w14:paraId="0000001F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Preguntas orientadoras</w:t>
      </w:r>
    </w:p>
    <w:p w14:paraId="00000020" w14:textId="77777777" w:rsidR="00D84AFC" w:rsidRPr="00815246" w:rsidRDefault="00000000">
      <w:pPr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 xml:space="preserve">¿Qué actores participaron en el proceso? se sugiere remitirse al </w:t>
      </w:r>
      <w:hyperlink r:id="rId10">
        <w:r w:rsidRPr="00815246">
          <w:rPr>
            <w:rFonts w:ascii="Arial" w:eastAsia="Arial" w:hAnsi="Arial" w:cs="Arial"/>
          </w:rPr>
          <w:t>Anexo 3 GCC-PT-01</w:t>
        </w:r>
      </w:hyperlink>
      <w:hyperlink r:id="rId11">
        <w:r w:rsidRPr="00815246">
          <w:rPr>
            <w:rFonts w:ascii="Arial" w:eastAsia="Arial" w:hAnsi="Arial" w:cs="Arial"/>
          </w:rPr>
          <w:t xml:space="preserve"> Mapeo de actores</w:t>
        </w:r>
      </w:hyperlink>
      <w:r w:rsidRPr="00815246">
        <w:rPr>
          <w:rFonts w:ascii="Arial" w:eastAsia="Arial" w:hAnsi="Arial" w:cs="Arial"/>
        </w:rPr>
        <w:t xml:space="preserve"> del protocolo IDEARR</w:t>
      </w:r>
    </w:p>
    <w:p w14:paraId="00000021" w14:textId="77777777" w:rsidR="00D84AFC" w:rsidRPr="00815246" w:rsidRDefault="00000000">
      <w:pPr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actores podrían contribuir a su continuidad?</w:t>
      </w:r>
    </w:p>
    <w:p w14:paraId="00000022" w14:textId="77777777" w:rsidR="00D84AFC" w:rsidRPr="00815246" w:rsidRDefault="00000000">
      <w:pPr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¿Existen organizaciones comunitarias interesadas en seguir desarrollando el proceso?</w:t>
      </w:r>
    </w:p>
    <w:p w14:paraId="00000023" w14:textId="77777777" w:rsidR="00D84AFC" w:rsidRPr="00815246" w:rsidRDefault="00000000">
      <w:pPr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entidades podrían incorporar la iniciativa dentro de sus programas o proyectos?</w:t>
      </w:r>
    </w:p>
    <w:p w14:paraId="00000024" w14:textId="77777777" w:rsidR="00D84AFC" w:rsidRPr="00815246" w:rsidRDefault="00000000">
      <w:pPr>
        <w:numPr>
          <w:ilvl w:val="0"/>
          <w:numId w:val="9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oportunidades existen para articular la estrategia con políticas públicas o programas existentes?</w:t>
      </w:r>
    </w:p>
    <w:p w14:paraId="00000025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Ideas para fortalecer la articulación</w:t>
      </w:r>
    </w:p>
    <w:p w14:paraId="00000026" w14:textId="77777777" w:rsidR="00D84AFC" w:rsidRPr="00815246" w:rsidRDefault="00000000">
      <w:pPr>
        <w:numPr>
          <w:ilvl w:val="0"/>
          <w:numId w:val="10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Socializar la metodología, protocolo IDEARR, Guia PEN, modelo FESTÍN y las que se puedan aplicar según la necesidad y los resultados del proceso con actores clave con aliados, entidades que no hayan participado en el desarrollo de la estrategia.</w:t>
      </w:r>
    </w:p>
    <w:p w14:paraId="00000027" w14:textId="77777777" w:rsidR="00D84AFC" w:rsidRPr="00815246" w:rsidRDefault="00000000">
      <w:pPr>
        <w:numPr>
          <w:ilvl w:val="0"/>
          <w:numId w:val="10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Identificar aliados estratégicos en el territorio</w:t>
      </w:r>
    </w:p>
    <w:p w14:paraId="00000028" w14:textId="77777777" w:rsidR="00D84AFC" w:rsidRPr="00815246" w:rsidRDefault="00000000">
      <w:pPr>
        <w:numPr>
          <w:ilvl w:val="0"/>
          <w:numId w:val="10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Construir redes de colaboración entre entidades</w:t>
      </w:r>
    </w:p>
    <w:p w14:paraId="00000029" w14:textId="77777777" w:rsidR="00D84AFC" w:rsidRPr="00815246" w:rsidRDefault="00000000">
      <w:pPr>
        <w:numPr>
          <w:ilvl w:val="0"/>
          <w:numId w:val="10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Promover la corresponsabilidad ciudadana en el sostenimiento de las acciones</w:t>
      </w:r>
    </w:p>
    <w:p w14:paraId="0000002A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2B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3. Política Pública de Cultura Ciudadana</w:t>
      </w:r>
    </w:p>
    <w:p w14:paraId="0000002C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 xml:space="preserve">La estrategia se debe articular con la </w:t>
      </w:r>
      <w:r w:rsidRPr="00815246">
        <w:rPr>
          <w:rFonts w:ascii="Arial" w:eastAsia="Arial" w:hAnsi="Arial" w:cs="Arial"/>
          <w:b/>
          <w:bCs/>
        </w:rPr>
        <w:t>Política Pública de Cultura Ciudadana</w:t>
      </w:r>
      <w:r w:rsidRPr="00815246">
        <w:rPr>
          <w:rFonts w:ascii="Arial" w:eastAsia="Arial" w:hAnsi="Arial" w:cs="Arial"/>
        </w:rPr>
        <w:t>, contribuyendo al fortalecimiento de los productos y acciones orientadas a promover cambios comportamentales favoreciendo la convivencia, la corresponsabilidad y el bienestar colectivo. En este sentido, resulta pertinente identificar cómo la estrategia aporta a la política.</w:t>
      </w:r>
    </w:p>
    <w:p w14:paraId="46848D59" w14:textId="77777777" w:rsidR="00815246" w:rsidRDefault="00815246">
      <w:pPr>
        <w:spacing w:line="240" w:lineRule="auto"/>
        <w:jc w:val="both"/>
        <w:rPr>
          <w:rFonts w:ascii="Arial" w:eastAsia="Arial" w:hAnsi="Arial" w:cs="Arial"/>
        </w:rPr>
      </w:pPr>
    </w:p>
    <w:p w14:paraId="0000002D" w14:textId="41787DF2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lastRenderedPageBreak/>
        <w:t>Preguntas orientadoras</w:t>
      </w:r>
    </w:p>
    <w:p w14:paraId="0000002E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 xml:space="preserve">¿Cómo se articula la estrategia con la Política Pública de Cultura Ciudadana y a cuáles de sus productos contribuye? </w:t>
      </w:r>
    </w:p>
    <w:p w14:paraId="0000002F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¿Cuál es el aporte o impacto de esta Estrategia en la implementación y cumplimiento de la Política de Cultura Ciudadana?</w:t>
      </w:r>
    </w:p>
    <w:p w14:paraId="00000030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31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4. Sostenibilidad operativa y de recursos</w:t>
      </w:r>
    </w:p>
    <w:p w14:paraId="00000032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La continuidad de una estrategia también depende de la disponibilidad de recursos humanos, financieros y logísticos que permitan mantener o ampliar las acciones.</w:t>
      </w:r>
    </w:p>
    <w:p w14:paraId="00000033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Reflexionar sobre estos aspectos permite proyectar el futuro del proceso y explorar alternativas para su continuidad.</w:t>
      </w:r>
    </w:p>
    <w:p w14:paraId="00000034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Preguntas orientadoras</w:t>
      </w:r>
    </w:p>
    <w:p w14:paraId="00000035" w14:textId="77777777" w:rsidR="00D84AFC" w:rsidRPr="00815246" w:rsidRDefault="00000000">
      <w:pPr>
        <w:numPr>
          <w:ilvl w:val="0"/>
          <w:numId w:val="1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recursos fueron necesarios para implementar la estrategia?</w:t>
      </w:r>
    </w:p>
    <w:p w14:paraId="00000036" w14:textId="77777777" w:rsidR="00D84AFC" w:rsidRPr="00815246" w:rsidRDefault="00000000">
      <w:pPr>
        <w:numPr>
          <w:ilvl w:val="0"/>
          <w:numId w:val="1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recursos serían necesarios para continuar o ampliar el proceso?</w:t>
      </w:r>
    </w:p>
    <w:p w14:paraId="00000037" w14:textId="77777777" w:rsidR="00D84AFC" w:rsidRPr="00815246" w:rsidRDefault="00000000">
      <w:pPr>
        <w:numPr>
          <w:ilvl w:val="0"/>
          <w:numId w:val="1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¿Existen oportunidades de financiación o apoyo institucional?</w:t>
      </w:r>
    </w:p>
    <w:p w14:paraId="00000038" w14:textId="77777777" w:rsidR="00D84AFC" w:rsidRPr="00815246" w:rsidRDefault="00000000">
      <w:pPr>
        <w:numPr>
          <w:ilvl w:val="0"/>
          <w:numId w:val="1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capacidades del equipo son clave para la continuidad de la estrategia?</w:t>
      </w:r>
    </w:p>
    <w:p w14:paraId="00000039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Ideas para fortalecer la sostenibilidad operativa</w:t>
      </w:r>
    </w:p>
    <w:p w14:paraId="0000003A" w14:textId="77777777" w:rsidR="00D84AFC" w:rsidRPr="00815246" w:rsidRDefault="00000000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identificar recursos existentes en las instituciones o comunidades</w:t>
      </w:r>
    </w:p>
    <w:p w14:paraId="0000003B" w14:textId="77777777" w:rsidR="00D84AFC" w:rsidRPr="00815246" w:rsidRDefault="00000000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explorar mecanismos de cofinanciación</w:t>
      </w:r>
    </w:p>
    <w:p w14:paraId="0000003C" w14:textId="77777777" w:rsidR="00D84AFC" w:rsidRPr="00815246" w:rsidRDefault="00000000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fortalecer las capacidades de los equipos implementadores</w:t>
      </w:r>
    </w:p>
    <w:p w14:paraId="0000003D" w14:textId="77777777" w:rsidR="00D84AFC" w:rsidRPr="00815246" w:rsidRDefault="00000000">
      <w:pPr>
        <w:numPr>
          <w:ilvl w:val="0"/>
          <w:numId w:val="1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promover la formación de actores territoriales que puedan replicar el proceso</w:t>
      </w:r>
    </w:p>
    <w:p w14:paraId="0000003E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3F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5. Sostenibilidad del conocimiento y memoria del proceso</w:t>
      </w:r>
    </w:p>
    <w:p w14:paraId="00000040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Documentar las experiencias permite conservar aprendizajes, facilitar la réplica de estrategias y fortalecer la memoria institucional.</w:t>
      </w:r>
    </w:p>
    <w:p w14:paraId="00000041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 xml:space="preserve">La construcción de memoria también contribuye a reconocer las voces de quienes participaron en el proceso. Para esto, se recomienda acudir al Anexo de Memoria Social. </w:t>
      </w:r>
    </w:p>
    <w:p w14:paraId="00000042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Preguntas orientadoras</w:t>
      </w:r>
    </w:p>
    <w:p w14:paraId="00000043" w14:textId="77777777" w:rsidR="00D84AFC" w:rsidRPr="00815246" w:rsidRDefault="00000000">
      <w:pPr>
        <w:numPr>
          <w:ilvl w:val="0"/>
          <w:numId w:val="2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¿Cómo se documentó la experiencia de la estrategia?</w:t>
      </w:r>
    </w:p>
    <w:p w14:paraId="00000044" w14:textId="77777777" w:rsidR="00D84AFC" w:rsidRPr="00815246" w:rsidRDefault="00000000">
      <w:pPr>
        <w:numPr>
          <w:ilvl w:val="0"/>
          <w:numId w:val="2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aprendizajes surgieron durante su implementación?</w:t>
      </w:r>
    </w:p>
    <w:p w14:paraId="00000045" w14:textId="77777777" w:rsidR="00D84AFC" w:rsidRPr="00815246" w:rsidRDefault="00000000">
      <w:pPr>
        <w:numPr>
          <w:ilvl w:val="0"/>
          <w:numId w:val="2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resultados e impactos se identificaron?</w:t>
      </w:r>
    </w:p>
    <w:p w14:paraId="00000046" w14:textId="77777777" w:rsidR="00D84AFC" w:rsidRPr="00815246" w:rsidRDefault="00000000">
      <w:pPr>
        <w:numPr>
          <w:ilvl w:val="0"/>
          <w:numId w:val="2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testimonios o experiencias de los participantes podrían registrarse?</w:t>
      </w:r>
    </w:p>
    <w:p w14:paraId="00000047" w14:textId="77777777" w:rsidR="00D84AFC" w:rsidRPr="00815246" w:rsidRDefault="00000000">
      <w:pPr>
        <w:numPr>
          <w:ilvl w:val="0"/>
          <w:numId w:val="2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aspectos del proceso podrían servir de referencia para otros equipos o territorios?</w:t>
      </w:r>
    </w:p>
    <w:p w14:paraId="00000048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lastRenderedPageBreak/>
        <w:t>Ideas para fortalecer la memoria del proceso</w:t>
      </w:r>
    </w:p>
    <w:p w14:paraId="00000049" w14:textId="77777777" w:rsidR="00D84AFC" w:rsidRPr="00815246" w:rsidRDefault="00000000">
      <w:pPr>
        <w:numPr>
          <w:ilvl w:val="0"/>
          <w:numId w:val="3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elaborar documentos de sistematización</w:t>
      </w:r>
    </w:p>
    <w:p w14:paraId="0000004A" w14:textId="77777777" w:rsidR="00D84AFC" w:rsidRPr="00815246" w:rsidRDefault="00000000">
      <w:pPr>
        <w:numPr>
          <w:ilvl w:val="0"/>
          <w:numId w:val="3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recopilar testimonios de participantes</w:t>
      </w:r>
    </w:p>
    <w:p w14:paraId="0000004B" w14:textId="77777777" w:rsidR="00D84AFC" w:rsidRPr="00815246" w:rsidRDefault="00000000">
      <w:pPr>
        <w:numPr>
          <w:ilvl w:val="0"/>
          <w:numId w:val="3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registrar resultados cualitativos y cuantitativos</w:t>
      </w:r>
    </w:p>
    <w:p w14:paraId="0000004C" w14:textId="77777777" w:rsidR="00D84AFC" w:rsidRPr="00815246" w:rsidRDefault="00000000">
      <w:pPr>
        <w:numPr>
          <w:ilvl w:val="0"/>
          <w:numId w:val="3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producir materiales de divulgación del proceso</w:t>
      </w:r>
    </w:p>
    <w:p w14:paraId="0000004D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p w14:paraId="0000004E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6. Proyección y continuidad de la estrategia</w:t>
      </w:r>
    </w:p>
    <w:p w14:paraId="0000004F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Una estrategia sostenible no necesariamente implica repetir exactamente las mismas acciones, sino proyectar el proceso hacia nuevas fases, territorios o poblaciones.</w:t>
      </w:r>
    </w:p>
    <w:p w14:paraId="00000050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La proyección del proceso permite imaginar posibles escenarios de continuidad y crecimiento de la iniciativa.</w:t>
      </w:r>
    </w:p>
    <w:p w14:paraId="00000051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Preguntas orientadoras</w:t>
      </w:r>
    </w:p>
    <w:p w14:paraId="00000052" w14:textId="77777777" w:rsidR="00D84AFC" w:rsidRPr="00815246" w:rsidRDefault="00000000">
      <w:pPr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nuevas etapas podría tener la estrategia?</w:t>
      </w:r>
    </w:p>
    <w:p w14:paraId="00000053" w14:textId="77777777" w:rsidR="00D84AFC" w:rsidRPr="00815246" w:rsidRDefault="00000000">
      <w:pPr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¿Cómo podría ampliarse el alcance territorial o poblacional?</w:t>
      </w:r>
    </w:p>
    <w:p w14:paraId="00000054" w14:textId="77777777" w:rsidR="00D84AFC" w:rsidRPr="00815246" w:rsidRDefault="00000000">
      <w:pPr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aprendizajes podrían incorporarse en una nueva versión del proceso?</w:t>
      </w:r>
    </w:p>
    <w:p w14:paraId="00000055" w14:textId="77777777" w:rsidR="00D84AFC" w:rsidRPr="00815246" w:rsidRDefault="00000000">
      <w:pPr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¿Qué acciones podrían replicarse en otros contextos?</w:t>
      </w:r>
    </w:p>
    <w:p w14:paraId="00000056" w14:textId="77777777" w:rsidR="00D84AFC" w:rsidRPr="00815246" w:rsidRDefault="00000000">
      <w:p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Ideas para proyectar la estrategia</w:t>
      </w:r>
    </w:p>
    <w:p w14:paraId="00000057" w14:textId="77777777" w:rsidR="00D84AFC" w:rsidRPr="00815246" w:rsidRDefault="00000000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diseñar una segunda fase del proceso</w:t>
      </w:r>
    </w:p>
    <w:p w14:paraId="00000058" w14:textId="77777777" w:rsidR="00D84AFC" w:rsidRPr="00815246" w:rsidRDefault="00000000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adaptar la metodología a nuevos contextos</w:t>
      </w:r>
    </w:p>
    <w:p w14:paraId="00000059" w14:textId="77777777" w:rsidR="00D84AFC" w:rsidRPr="00815246" w:rsidRDefault="00000000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replicar experiencias exitosas en otros territorios</w:t>
      </w:r>
    </w:p>
    <w:p w14:paraId="0000005A" w14:textId="77777777" w:rsidR="00D84AFC" w:rsidRPr="00815246" w:rsidRDefault="00000000">
      <w:pPr>
        <w:numPr>
          <w:ilvl w:val="0"/>
          <w:numId w:val="5"/>
        </w:numPr>
        <w:spacing w:line="240" w:lineRule="auto"/>
        <w:jc w:val="both"/>
        <w:rPr>
          <w:rFonts w:ascii="Arial" w:eastAsia="Arial" w:hAnsi="Arial" w:cs="Arial"/>
        </w:rPr>
      </w:pPr>
      <w:r w:rsidRPr="00815246">
        <w:rPr>
          <w:rFonts w:ascii="Arial" w:eastAsia="Arial" w:hAnsi="Arial" w:cs="Arial"/>
        </w:rPr>
        <w:t>fortalecer redes de aprendizaje entre equipos implementadores</w:t>
      </w:r>
    </w:p>
    <w:p w14:paraId="0000005B" w14:textId="77777777" w:rsidR="00D84AFC" w:rsidRPr="00815246" w:rsidRDefault="00D84AFC">
      <w:pPr>
        <w:spacing w:line="240" w:lineRule="auto"/>
        <w:jc w:val="both"/>
        <w:rPr>
          <w:rFonts w:ascii="Arial" w:eastAsia="Arial" w:hAnsi="Arial" w:cs="Arial"/>
        </w:rPr>
      </w:pPr>
    </w:p>
    <w:sectPr w:rsidR="00D84AFC" w:rsidRPr="00815246">
      <w:foot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ACF09" w14:textId="77777777" w:rsidR="00D55992" w:rsidRDefault="00D55992">
      <w:pPr>
        <w:spacing w:after="0" w:line="240" w:lineRule="auto"/>
      </w:pPr>
      <w:r>
        <w:separator/>
      </w:r>
    </w:p>
  </w:endnote>
  <w:endnote w:type="continuationSeparator" w:id="0">
    <w:p w14:paraId="382AD5C8" w14:textId="77777777" w:rsidR="00D55992" w:rsidRDefault="00D55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4AE54F-0F5C-4C16-B53E-C6D849A8A2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3845DF-7FD7-42E1-9DF6-C7022D8BE5CF}"/>
    <w:embedBold r:id="rId3" w:fontKey="{DD94968B-E45A-4D9B-B643-753977CB04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72B1F9E-7F7D-4656-A41C-D65FF281DBD6}"/>
  </w:font>
  <w:font w:name="Georgia">
    <w:panose1 w:val="02040502050405020303"/>
    <w:charset w:val="00"/>
    <w:family w:val="auto"/>
    <w:pitch w:val="default"/>
    <w:embedItalic r:id="rId5" w:fontKey="{55A1AE34-25B6-425E-8413-54DAEEF2C5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D84A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Anexo 16:</w:t>
    </w:r>
  </w:p>
  <w:p w14:paraId="0000005D" w14:textId="77777777" w:rsidR="00D84A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GCC-PT-01 V4- 19/12//2025</w:t>
    </w:r>
  </w:p>
  <w:p w14:paraId="0000005E" w14:textId="26841F54" w:rsidR="00D84A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Página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815246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815246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0000005F" w14:textId="77777777" w:rsidR="00D84AFC" w:rsidRDefault="00D84A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76136" w14:textId="77777777" w:rsidR="00D55992" w:rsidRDefault="00D55992">
      <w:pPr>
        <w:spacing w:after="0" w:line="240" w:lineRule="auto"/>
      </w:pPr>
      <w:r>
        <w:separator/>
      </w:r>
    </w:p>
  </w:footnote>
  <w:footnote w:type="continuationSeparator" w:id="0">
    <w:p w14:paraId="1516A131" w14:textId="77777777" w:rsidR="00D55992" w:rsidRDefault="00D55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21289"/>
    <w:multiLevelType w:val="multilevel"/>
    <w:tmpl w:val="CEC64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CF1E30"/>
    <w:multiLevelType w:val="multilevel"/>
    <w:tmpl w:val="7C30A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C57E29"/>
    <w:multiLevelType w:val="multilevel"/>
    <w:tmpl w:val="7CF42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CA761D0"/>
    <w:multiLevelType w:val="multilevel"/>
    <w:tmpl w:val="61208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8B7C7A"/>
    <w:multiLevelType w:val="multilevel"/>
    <w:tmpl w:val="3CEC7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A5E0607"/>
    <w:multiLevelType w:val="multilevel"/>
    <w:tmpl w:val="B3BCB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A6A6354"/>
    <w:multiLevelType w:val="multilevel"/>
    <w:tmpl w:val="8E365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57B7FE5"/>
    <w:multiLevelType w:val="multilevel"/>
    <w:tmpl w:val="84449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C136D7E"/>
    <w:multiLevelType w:val="multilevel"/>
    <w:tmpl w:val="82AED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D554C70"/>
    <w:multiLevelType w:val="multilevel"/>
    <w:tmpl w:val="2E34F4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39A4C6B"/>
    <w:multiLevelType w:val="multilevel"/>
    <w:tmpl w:val="F93AC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0351740">
    <w:abstractNumId w:val="0"/>
  </w:num>
  <w:num w:numId="2" w16cid:durableId="336730273">
    <w:abstractNumId w:val="4"/>
  </w:num>
  <w:num w:numId="3" w16cid:durableId="139155393">
    <w:abstractNumId w:val="8"/>
  </w:num>
  <w:num w:numId="4" w16cid:durableId="1238201876">
    <w:abstractNumId w:val="5"/>
  </w:num>
  <w:num w:numId="5" w16cid:durableId="2134980376">
    <w:abstractNumId w:val="2"/>
  </w:num>
  <w:num w:numId="6" w16cid:durableId="1475217118">
    <w:abstractNumId w:val="7"/>
  </w:num>
  <w:num w:numId="7" w16cid:durableId="2049183787">
    <w:abstractNumId w:val="3"/>
  </w:num>
  <w:num w:numId="8" w16cid:durableId="798375490">
    <w:abstractNumId w:val="1"/>
  </w:num>
  <w:num w:numId="9" w16cid:durableId="1552109011">
    <w:abstractNumId w:val="9"/>
  </w:num>
  <w:num w:numId="10" w16cid:durableId="1137064563">
    <w:abstractNumId w:val="10"/>
  </w:num>
  <w:num w:numId="11" w16cid:durableId="7951750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FC"/>
    <w:rsid w:val="00815246"/>
    <w:rsid w:val="00D55992"/>
    <w:rsid w:val="00D84AFC"/>
    <w:rsid w:val="00F0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B0C4BE"/>
  <w15:docId w15:val="{962272AF-5617-4CC6-A8BF-5848A4D2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1155E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 w:eastAsia="es-CO"/>
    </w:rPr>
  </w:style>
  <w:style w:type="paragraph" w:styleId="Prrafodelista">
    <w:name w:val="List Paragraph"/>
    <w:aliases w:val="Bullet List,FooterText,numbered,Paragraphe de liste1,Bulletr List Paragraph,列出段落,列出段落1,List Paragraph2,List Paragraph21,Listeafsnit1,Parágrafo da Lista1,Colsubsidio - Lista"/>
    <w:basedOn w:val="Normal"/>
    <w:link w:val="PrrafodelistaCar"/>
    <w:uiPriority w:val="34"/>
    <w:qFormat/>
    <w:rsid w:val="00C829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6B1FC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1FC2"/>
    <w:rPr>
      <w:rFonts w:ascii="Calibri" w:eastAsia="Calibri" w:hAnsi="Calibri" w:cs="Calibri"/>
      <w:kern w:val="0"/>
      <w:sz w:val="20"/>
      <w:szCs w:val="20"/>
      <w:lang w:val="en-GB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6B1FC2"/>
    <w:rPr>
      <w:vertAlign w:val="superscript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 Car,List Paragraph21 Car,Listeafsnit1 Car,Parágrafo da Lista1 Car,Colsubsidio - Lista Car"/>
    <w:link w:val="Prrafodelista"/>
    <w:uiPriority w:val="34"/>
    <w:locked/>
    <w:rsid w:val="003C4096"/>
    <w:rPr>
      <w:rFonts w:ascii="Calibri" w:eastAsia="Calibri" w:hAnsi="Calibri" w:cs="Calibri"/>
      <w:kern w:val="0"/>
      <w:sz w:val="22"/>
      <w:lang w:val="en-GB" w:eastAsia="es-CO"/>
    </w:rPr>
  </w:style>
  <w:style w:type="character" w:customStyle="1" w:styleId="Ttulo3Car">
    <w:name w:val="Título 3 Car"/>
    <w:basedOn w:val="Fuentedeprrafopredeter"/>
    <w:uiPriority w:val="9"/>
    <w:semiHidden/>
    <w:rsid w:val="00CB0644"/>
    <w:rPr>
      <w:rFonts w:asciiTheme="majorHAnsi" w:eastAsiaTheme="majorEastAsia" w:hAnsiTheme="majorHAnsi" w:cstheme="majorBidi"/>
      <w:color w:val="1F3763" w:themeColor="accent1" w:themeShade="7F"/>
      <w:kern w:val="0"/>
      <w:szCs w:val="24"/>
      <w:lang w:val="en-GB" w:eastAsia="es-CO"/>
    </w:rPr>
  </w:style>
  <w:style w:type="paragraph" w:styleId="Encabezado">
    <w:name w:val="header"/>
    <w:basedOn w:val="Normal"/>
    <w:link w:val="EncabezadoCar"/>
    <w:uiPriority w:val="99"/>
    <w:unhideWhenUsed/>
    <w:rsid w:val="00A141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1B2"/>
    <w:rPr>
      <w:rFonts w:ascii="Calibri" w:eastAsia="Calibri" w:hAnsi="Calibri" w:cs="Calibri"/>
      <w:kern w:val="0"/>
      <w:sz w:val="22"/>
      <w:lang w:val="en-GB" w:eastAsia="es-CO"/>
    </w:rPr>
  </w:style>
  <w:style w:type="paragraph" w:styleId="Piedepgina">
    <w:name w:val="footer"/>
    <w:basedOn w:val="Normal"/>
    <w:link w:val="PiedepginaCar"/>
    <w:uiPriority w:val="99"/>
    <w:unhideWhenUsed/>
    <w:rsid w:val="00A141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1B2"/>
    <w:rPr>
      <w:rFonts w:ascii="Calibri" w:eastAsia="Calibri" w:hAnsi="Calibri" w:cs="Calibri"/>
      <w:kern w:val="0"/>
      <w:sz w:val="22"/>
      <w:lang w:val="en-GB"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lturarecreacionydeporte.gov.co/sites/default/files/2026-01/anexo_3_mapeo_de_actores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ulturarecreacionydeporte.gov.co/sites/default/files/2026-01/anexo_3_mapeo_de_actor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Ju0Y7yiA4qbu405fuw957Skjg==">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1012</Words>
  <Characters>5570</Characters>
  <Application>Microsoft Office Word</Application>
  <DocSecurity>0</DocSecurity>
  <Lines>46</Lines>
  <Paragraphs>13</Paragraphs>
  <ScaleCrop>false</ScaleCrop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Andres Colmenares Burgos</dc:creator>
  <cp:lastModifiedBy>Ruth Yanina Bermudez Rodríguez</cp:lastModifiedBy>
  <cp:revision>2</cp:revision>
  <dcterms:created xsi:type="dcterms:W3CDTF">2026-03-05T14:57:00Z</dcterms:created>
  <dcterms:modified xsi:type="dcterms:W3CDTF">2026-03-18T14:43:00Z</dcterms:modified>
</cp:coreProperties>
</file>